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Pr="00F9730A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color w:val="FF0000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F9730A">
        <w:rPr>
          <w:rFonts w:ascii="Verdana" w:hAnsi="Verdana" w:cs="Calibri"/>
          <w:color w:val="FF0000"/>
          <w:lang w:val="en-GB"/>
        </w:rPr>
        <w:t xml:space="preserve">from </w:t>
      </w:r>
      <w:r w:rsidRPr="00F9730A">
        <w:rPr>
          <w:rFonts w:ascii="Verdana" w:hAnsi="Verdana" w:cs="Calibri"/>
          <w:i/>
          <w:color w:val="FF0000"/>
          <w:lang w:val="en-GB"/>
        </w:rPr>
        <w:t>[day/month/year]</w:t>
      </w:r>
      <w:r w:rsidR="00743F98" w:rsidRPr="00F9730A">
        <w:rPr>
          <w:rFonts w:ascii="Verdana" w:hAnsi="Verdana" w:cs="Calibri"/>
          <w:color w:val="FF0000"/>
          <w:lang w:val="en-GB"/>
        </w:rPr>
        <w:t xml:space="preserve"> to</w:t>
      </w:r>
      <w:r w:rsidRPr="00F9730A">
        <w:rPr>
          <w:rFonts w:ascii="Verdana" w:hAnsi="Verdana" w:cs="Calibri"/>
          <w:color w:val="FF0000"/>
          <w:lang w:val="en-GB"/>
        </w:rPr>
        <w:t xml:space="preserve"> </w:t>
      </w:r>
      <w:r w:rsidRPr="00F9730A">
        <w:rPr>
          <w:rFonts w:ascii="Verdana" w:hAnsi="Verdana" w:cs="Calibri"/>
          <w:i/>
          <w:color w:val="FF0000"/>
          <w:lang w:val="en-GB"/>
        </w:rPr>
        <w:t>[day/month/year]</w:t>
      </w:r>
    </w:p>
    <w:p w14:paraId="2D8D8A40" w14:textId="77777777" w:rsidR="00490F95" w:rsidRPr="00F9730A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FF0000"/>
          <w:lang w:val="en-GB"/>
        </w:rPr>
      </w:pPr>
    </w:p>
    <w:p w14:paraId="05D39490" w14:textId="7C0D78E0" w:rsidR="00252D45" w:rsidRPr="00F9730A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FF0000"/>
          <w:lang w:val="en-GB"/>
        </w:rPr>
      </w:pPr>
      <w:r w:rsidRPr="00F9730A">
        <w:rPr>
          <w:rFonts w:ascii="Verdana" w:hAnsi="Verdana" w:cs="Calibri"/>
          <w:color w:val="FF0000"/>
          <w:lang w:val="en-GB"/>
        </w:rPr>
        <w:t>Duration</w:t>
      </w:r>
      <w:r w:rsidR="00B96BA4" w:rsidRPr="00F9730A">
        <w:rPr>
          <w:rFonts w:ascii="Verdana" w:hAnsi="Verdana" w:cs="Calibri"/>
          <w:color w:val="FF0000"/>
          <w:lang w:val="en-GB"/>
        </w:rPr>
        <w:t xml:space="preserve"> of physical mobility</w:t>
      </w:r>
      <w:r w:rsidRPr="00F9730A">
        <w:rPr>
          <w:rFonts w:ascii="Verdana" w:hAnsi="Verdana" w:cs="Calibri"/>
          <w:color w:val="FF0000"/>
          <w:lang w:val="en-GB"/>
        </w:rPr>
        <w:t xml:space="preserve"> (days) – excluding travel days: …………………. </w:t>
      </w:r>
    </w:p>
    <w:p w14:paraId="013E523E" w14:textId="77777777" w:rsidR="00743F98" w:rsidRDefault="00743F98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F9730A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color w:val="FF0000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Pr="00F9730A">
        <w:rPr>
          <w:rFonts w:ascii="Verdana" w:hAnsi="Verdana" w:cs="Calibri"/>
          <w:color w:val="FF0000"/>
          <w:lang w:val="en-GB"/>
        </w:rPr>
        <w:t xml:space="preserve">from </w:t>
      </w:r>
      <w:r w:rsidRPr="00F9730A">
        <w:rPr>
          <w:rFonts w:ascii="Verdana" w:hAnsi="Verdana" w:cs="Calibri"/>
          <w:i/>
          <w:color w:val="FF0000"/>
          <w:lang w:val="en-GB"/>
        </w:rPr>
        <w:t>[day/month/year]</w:t>
      </w:r>
      <w:r w:rsidRPr="00F9730A">
        <w:rPr>
          <w:rFonts w:ascii="Verdana" w:hAnsi="Verdana" w:cs="Calibri"/>
          <w:color w:val="FF0000"/>
          <w:lang w:val="en-GB"/>
        </w:rPr>
        <w:t xml:space="preserve"> to </w:t>
      </w:r>
      <w:r w:rsidRPr="00F9730A">
        <w:rPr>
          <w:rFonts w:ascii="Verdana" w:hAnsi="Verdana" w:cs="Calibri"/>
          <w:i/>
          <w:color w:val="FF0000"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479A67E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9730A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9730A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F2CB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F2CB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5B3BEA90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2062"/>
        <w:gridCol w:w="2226"/>
        <w:gridCol w:w="2439"/>
      </w:tblGrid>
      <w:tr w:rsidR="00F9730A" w:rsidRPr="009122E4" w14:paraId="402B97BA" w14:textId="77777777" w:rsidTr="00D85F5B">
        <w:trPr>
          <w:trHeight w:val="371"/>
        </w:trPr>
        <w:tc>
          <w:tcPr>
            <w:tcW w:w="2232" w:type="dxa"/>
            <w:shd w:val="clear" w:color="auto" w:fill="FFFFFF"/>
          </w:tcPr>
          <w:p w14:paraId="29ACA680" w14:textId="77777777" w:rsidR="00F9730A" w:rsidRPr="007673FA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F7C573D" w14:textId="77777777" w:rsidR="00F9730A" w:rsidRPr="009122E4" w:rsidRDefault="00F9730A" w:rsidP="00D85F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9122E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Applied Sciences “Lavoslav Ružička in Vukovar”</w:t>
            </w:r>
          </w:p>
        </w:tc>
      </w:tr>
      <w:tr w:rsidR="00F9730A" w:rsidRPr="007673FA" w14:paraId="57A77598" w14:textId="77777777" w:rsidTr="00D85F5B">
        <w:trPr>
          <w:trHeight w:val="404"/>
        </w:trPr>
        <w:tc>
          <w:tcPr>
            <w:tcW w:w="2232" w:type="dxa"/>
            <w:shd w:val="clear" w:color="auto" w:fill="FFFFFF"/>
          </w:tcPr>
          <w:p w14:paraId="636888DE" w14:textId="77777777" w:rsidR="00F9730A" w:rsidRPr="00461A0D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C57A5BC" w14:textId="77777777" w:rsidR="00F9730A" w:rsidRPr="00A740AA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97DE528" w14:textId="77777777" w:rsidR="00F9730A" w:rsidRPr="007673FA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DCCEA6D" w14:textId="77777777" w:rsidR="00F9730A" w:rsidRPr="007673FA" w:rsidRDefault="00F9730A" w:rsidP="00D85F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VUKOVAR01</w:t>
            </w:r>
          </w:p>
        </w:tc>
        <w:tc>
          <w:tcPr>
            <w:tcW w:w="2023" w:type="dxa"/>
            <w:shd w:val="clear" w:color="auto" w:fill="FFFFFF"/>
          </w:tcPr>
          <w:p w14:paraId="794A2898" w14:textId="77777777" w:rsidR="00F9730A" w:rsidRPr="002A7968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2D04369F" w14:textId="77777777" w:rsidR="00F9730A" w:rsidRPr="00D460E4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41" w:type="dxa"/>
            <w:shd w:val="clear" w:color="auto" w:fill="FFFFFF"/>
          </w:tcPr>
          <w:p w14:paraId="15B03EB7" w14:textId="77777777" w:rsidR="00F9730A" w:rsidRDefault="00F9730A" w:rsidP="00D85F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Health Studies </w:t>
            </w:r>
          </w:p>
          <w:p w14:paraId="2562BADD" w14:textId="77777777" w:rsidR="00F9730A" w:rsidRPr="007673FA" w:rsidRDefault="00F9730A" w:rsidP="00D85F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Departemnt </w:t>
            </w:r>
          </w:p>
        </w:tc>
      </w:tr>
      <w:tr w:rsidR="00F9730A" w:rsidRPr="007673FA" w14:paraId="1E1FED82" w14:textId="77777777" w:rsidTr="00D85F5B">
        <w:trPr>
          <w:trHeight w:val="559"/>
        </w:trPr>
        <w:tc>
          <w:tcPr>
            <w:tcW w:w="2232" w:type="dxa"/>
            <w:shd w:val="clear" w:color="auto" w:fill="FFFFFF"/>
          </w:tcPr>
          <w:p w14:paraId="4E5722BB" w14:textId="77777777" w:rsidR="00F9730A" w:rsidRPr="007673FA" w:rsidRDefault="00F9730A" w:rsidP="00D85F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7FDC49F4" w14:textId="77777777" w:rsidR="00F9730A" w:rsidRDefault="00F9730A" w:rsidP="00D85F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Blage Zadre 2, </w:t>
            </w:r>
          </w:p>
          <w:p w14:paraId="410E16AB" w14:textId="77777777" w:rsidR="00F9730A" w:rsidRPr="007673FA" w:rsidRDefault="00F9730A" w:rsidP="00D85F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32000 Vukovar</w:t>
            </w:r>
          </w:p>
        </w:tc>
        <w:tc>
          <w:tcPr>
            <w:tcW w:w="2023" w:type="dxa"/>
            <w:shd w:val="clear" w:color="auto" w:fill="FFFFFF"/>
          </w:tcPr>
          <w:p w14:paraId="54886FDE" w14:textId="77777777" w:rsidR="00F9730A" w:rsidRPr="007673FA" w:rsidRDefault="00F9730A" w:rsidP="00D85F5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41" w:type="dxa"/>
            <w:shd w:val="clear" w:color="auto" w:fill="FFFFFF"/>
          </w:tcPr>
          <w:p w14:paraId="11387802" w14:textId="77777777" w:rsidR="00F9730A" w:rsidRDefault="00F9730A" w:rsidP="00D85F5B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Croatia </w:t>
            </w:r>
          </w:p>
          <w:p w14:paraId="3E60AED5" w14:textId="77777777" w:rsidR="00F9730A" w:rsidRPr="007673FA" w:rsidRDefault="00F9730A" w:rsidP="00D85F5B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F9730A" w:rsidRPr="003D0705" w14:paraId="1CE17439" w14:textId="77777777" w:rsidTr="00D85F5B">
        <w:tc>
          <w:tcPr>
            <w:tcW w:w="2232" w:type="dxa"/>
            <w:shd w:val="clear" w:color="auto" w:fill="FFFFFF"/>
          </w:tcPr>
          <w:p w14:paraId="49E75CAF" w14:textId="77777777" w:rsidR="00F9730A" w:rsidRPr="007673FA" w:rsidRDefault="00F9730A" w:rsidP="00D85F5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4BDB71DA" w14:textId="77777777" w:rsidR="00F9730A" w:rsidRDefault="00F9730A" w:rsidP="00D85F5B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122E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Karolina Novinc,  </w:t>
            </w:r>
          </w:p>
          <w:p w14:paraId="3CAB8E97" w14:textId="77777777" w:rsidR="00F9730A" w:rsidRDefault="00F9730A" w:rsidP="00D85F5B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122E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Institutioanl Erasmus </w:t>
            </w:r>
          </w:p>
          <w:p w14:paraId="1C89FAE5" w14:textId="77777777" w:rsidR="00F9730A" w:rsidRPr="009122E4" w:rsidRDefault="00F9730A" w:rsidP="00D85F5B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122E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lastRenderedPageBreak/>
              <w:t>coordinator</w:t>
            </w:r>
          </w:p>
        </w:tc>
        <w:tc>
          <w:tcPr>
            <w:tcW w:w="2023" w:type="dxa"/>
            <w:shd w:val="clear" w:color="auto" w:fill="FFFFFF"/>
          </w:tcPr>
          <w:p w14:paraId="746AD3F8" w14:textId="77777777" w:rsidR="00F9730A" w:rsidRPr="003D0705" w:rsidRDefault="00F9730A" w:rsidP="00D85F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lastRenderedPageBreak/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41" w:type="dxa"/>
            <w:shd w:val="clear" w:color="auto" w:fill="FFFFFF"/>
          </w:tcPr>
          <w:p w14:paraId="4152B473" w14:textId="77777777" w:rsidR="00F9730A" w:rsidRPr="009122E4" w:rsidRDefault="003F2CBF" w:rsidP="00D85F5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F9730A" w:rsidRPr="002D6974">
                <w:rPr>
                  <w:rStyle w:val="Hiperveza"/>
                  <w:rFonts w:ascii="Verdana" w:hAnsi="Verdana" w:cs="Arial"/>
                  <w:b/>
                  <w:sz w:val="16"/>
                  <w:szCs w:val="16"/>
                  <w:lang w:val="fr-BE"/>
                </w:rPr>
                <w:t>karolina.novinc@vevu.hr</w:t>
              </w:r>
            </w:hyperlink>
            <w:r w:rsidR="00F9730A" w:rsidRPr="009122E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  <w:tr w:rsidR="00F9730A" w:rsidRPr="00DD35B7" w14:paraId="6642EF59" w14:textId="77777777" w:rsidTr="00D85F5B">
        <w:trPr>
          <w:trHeight w:val="518"/>
        </w:trPr>
        <w:tc>
          <w:tcPr>
            <w:tcW w:w="2232" w:type="dxa"/>
            <w:shd w:val="clear" w:color="auto" w:fill="FFFFFF"/>
          </w:tcPr>
          <w:p w14:paraId="10347D63" w14:textId="77777777" w:rsidR="00F9730A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48BAE7CD" w14:textId="77777777" w:rsidR="00F9730A" w:rsidRPr="00E02718" w:rsidRDefault="00F9730A" w:rsidP="00D85F5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455B7D16" w14:textId="77777777" w:rsidR="00F9730A" w:rsidRPr="007673FA" w:rsidRDefault="00F9730A" w:rsidP="00D85F5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</w:t>
            </w:r>
            <w:r>
              <w:rPr>
                <w:color w:val="002060"/>
                <w:sz w:val="20"/>
                <w:lang w:val="en-GB"/>
              </w:rPr>
              <w:t>EI</w:t>
            </w:r>
          </w:p>
        </w:tc>
        <w:tc>
          <w:tcPr>
            <w:tcW w:w="2023" w:type="dxa"/>
            <w:shd w:val="clear" w:color="auto" w:fill="FFFFFF"/>
          </w:tcPr>
          <w:p w14:paraId="61DA981F" w14:textId="77777777" w:rsidR="00F9730A" w:rsidRPr="00CF3C00" w:rsidRDefault="00F9730A" w:rsidP="00D85F5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A0AC304" w14:textId="77777777" w:rsidR="00F9730A" w:rsidRPr="00526FE9" w:rsidRDefault="00F9730A" w:rsidP="00D85F5B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41" w:type="dxa"/>
            <w:shd w:val="clear" w:color="auto" w:fill="FFFFFF"/>
          </w:tcPr>
          <w:p w14:paraId="29E83D8E" w14:textId="77777777" w:rsidR="00F9730A" w:rsidRDefault="003F2CBF" w:rsidP="00D85F5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569782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30A">
                  <w:rPr>
                    <w:rFonts w:ascii="MS Gothic" w:eastAsia="MS Gothic" w:hAnsi="Verdana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F9730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4D8E46E7" w14:textId="77777777" w:rsidR="00F9730A" w:rsidRPr="00E02718" w:rsidRDefault="003F2CBF" w:rsidP="00D85F5B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20117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30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9730A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F9730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4A26B35" w14:textId="77777777" w:rsidR="00F9730A" w:rsidRDefault="00F9730A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3D36CC29" w:rsidR="00377526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F9730A">
        <w:rPr>
          <w:rFonts w:ascii="Verdana" w:hAnsi="Verdana" w:cs="Calibri"/>
          <w:lang w:val="en-GB"/>
        </w:rPr>
        <w:t xml:space="preserve">1- Education </w:t>
      </w:r>
    </w:p>
    <w:p w14:paraId="7A430560" w14:textId="32280442" w:rsidR="00F9730A" w:rsidRPr="00121A1B" w:rsidRDefault="00F9730A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9730A">
        <w:rPr>
          <w:rFonts w:ascii="Verdana" w:hAnsi="Verdana" w:cs="Calibri"/>
          <w:lang w:val="en-GB"/>
        </w:rPr>
        <w:t>Artificial Intelligence and its Application in Higher Education (including teaching, learning, personal organization, and research support)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B9C66B9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F9730A">
        <w:rPr>
          <w:rFonts w:ascii="Verdana" w:hAnsi="Verdana" w:cs="Calibri"/>
          <w:lang w:val="en-GB"/>
        </w:rPr>
        <w:t xml:space="preserve">30 </w:t>
      </w:r>
    </w:p>
    <w:p w14:paraId="56E93A28" w14:textId="253564EC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F9730A">
        <w:rPr>
          <w:rFonts w:ascii="Verdana" w:hAnsi="Verdana" w:cs="Calibri"/>
          <w:lang w:val="en-GB"/>
        </w:rPr>
        <w:t>8</w:t>
      </w:r>
    </w:p>
    <w:p w14:paraId="63DFBEF5" w14:textId="70493CE1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F9730A">
        <w:rPr>
          <w:rFonts w:ascii="Verdana" w:hAnsi="Verdana" w:cs="Calibri"/>
          <w:lang w:val="en-GB"/>
        </w:rPr>
        <w:t xml:space="preserve">English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2AB53689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F9730A">
              <w:rPr>
                <w:rFonts w:ascii="Verdana" w:hAnsi="Verdana" w:cs="Calibri"/>
                <w:b/>
                <w:sz w:val="20"/>
                <w:lang w:val="en-GB"/>
              </w:rPr>
              <w:t xml:space="preserve"> teaching 8 hours </w:t>
            </w:r>
          </w:p>
          <w:p w14:paraId="7AF5103C" w14:textId="5D4A8B99" w:rsidR="00F9730A" w:rsidRPr="00F9730A" w:rsidRDefault="003F2CBF" w:rsidP="003F2CBF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F2CBF">
              <w:rPr>
                <w:rFonts w:ascii="Verdana" w:hAnsi="Verdana" w:cs="Calibri"/>
                <w:b/>
                <w:sz w:val="20"/>
                <w:lang w:val="en-GB"/>
              </w:rPr>
              <w:t>Participation in BIP program Artificial Intelligence in Education and Research ID: 2024-1-HR01-KA131-HED-000224663-1 as facilitator.</w:t>
            </w:r>
            <w:bookmarkStart w:id="0" w:name="_GoBack"/>
            <w:bookmarkEnd w:id="0"/>
          </w:p>
          <w:p w14:paraId="1C3150BF" w14:textId="418A21BE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To provide teaching and academic staff with practical and theoretical knowledge of generative AI and its applications in higher education.</w:t>
            </w:r>
          </w:p>
          <w:p w14:paraId="5A887764" w14:textId="6B3D5F38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To enable participants to design AI-enhanced educational materials, assessment tools, and research outputs.</w:t>
            </w:r>
          </w:p>
          <w:p w14:paraId="33E05133" w14:textId="2C7AE872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To develop skills in ethical and responsible AI usage in teaching, learning, and research.</w:t>
            </w:r>
          </w:p>
          <w:p w14:paraId="5D66172D" w14:textId="3F97E16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To foster international collaboration and the exchange of best practices among higher education staff.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0BD20228" w14:textId="12FB5FB3" w:rsidR="00F9730A" w:rsidRPr="00F9730A" w:rsidRDefault="00F9730A" w:rsidP="00F9730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Supports modernisation by integrating AI tools into teaching, learning, and research practices.</w:t>
            </w:r>
          </w:p>
          <w:p w14:paraId="069BF1AE" w14:textId="509318A3" w:rsidR="00F9730A" w:rsidRPr="00F9730A" w:rsidRDefault="00F9730A" w:rsidP="00F9730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Enhances professional development for teaching and academic staff, improving educational and research quality.</w:t>
            </w:r>
          </w:p>
          <w:p w14:paraId="5BDB8324" w14:textId="3625116A" w:rsidR="00F9730A" w:rsidRPr="00F9730A" w:rsidRDefault="00F9730A" w:rsidP="00F9730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Strengthens internationalisation by connecting educators across institutions and countries for collaboration and knowledge exchange.</w:t>
            </w:r>
          </w:p>
          <w:p w14:paraId="4AA016B3" w14:textId="4719CE13" w:rsidR="00153B61" w:rsidRDefault="00F9730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Contributes to institutional capacity for AI-enhanced pedagogical strategies and research innovation.</w:t>
            </w: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44037C14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D4269C9" w14:textId="297D2F24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 xml:space="preserve">According the BIP Agenda involment as fascilitator – teacher </w:t>
            </w:r>
          </w:p>
          <w:p w14:paraId="17E0FE2B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D83694D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Online Component:</w:t>
            </w:r>
          </w:p>
          <w:p w14:paraId="07DD563A" w14:textId="42864CD2" w:rsidR="00F9730A" w:rsidRPr="00F9730A" w:rsidRDefault="00F9730A" w:rsidP="00F9730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Introduction to AI: history, principles, applications, and ethics (2 hours).</w:t>
            </w:r>
          </w:p>
          <w:p w14:paraId="5D143165" w14:textId="33D0B7B4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 xml:space="preserve">Group discussions on expectations and experience with AI in higher education </w:t>
            </w:r>
          </w:p>
          <w:p w14:paraId="27CC774E" w14:textId="26663CD3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Onsite Component:</w:t>
            </w:r>
          </w:p>
          <w:p w14:paraId="578346EF" w14:textId="462FD37A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 xml:space="preserve">Workshop/Sandbox sessions: </w:t>
            </w:r>
          </w:p>
          <w:p w14:paraId="624521A7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Methods: Lectures, workshops, group discussions, sandbox exercises, and scenario-based reflection.</w:t>
            </w:r>
          </w:p>
          <w:p w14:paraId="54BBE88D" w14:textId="1128F3EA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Platforms: MS Teams for online sessions; VEVU classrooms for onsite sessions.</w:t>
            </w:r>
          </w:p>
          <w:p w14:paraId="2B78BD76" w14:textId="77777777" w:rsidR="00153B61" w:rsidRPr="00490F95" w:rsidRDefault="00153B61" w:rsidP="00F9730A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352AAE4" w14:textId="350E2AEB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For the teaching facilitator:</w:t>
            </w:r>
          </w:p>
          <w:p w14:paraId="2F0E61DD" w14:textId="7B9141E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Strengthened expertise in designing and delivering AI-focused workshops and hands-on sessions for higher education staff.</w:t>
            </w:r>
          </w:p>
          <w:p w14:paraId="3ACCB1B2" w14:textId="0E9A252B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Enhanced ability to translate complex AI concepts into practical teaching, learning, and research applications.</w:t>
            </w:r>
          </w:p>
          <w:p w14:paraId="2F5946D0" w14:textId="4A90ABFA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Increased experience in guiding discussions and facilitating ethical reflection on AI use in education.</w:t>
            </w:r>
          </w:p>
          <w:p w14:paraId="4F2E6FAA" w14:textId="2B2268FE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Broadened professional network and international collaboration opportunities with partner institutions and colleagues.</w:t>
            </w:r>
          </w:p>
          <w:p w14:paraId="437EA134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Development of transferable skills in program coordination, online and hybrid teaching, and mentoring academic staff.</w:t>
            </w:r>
          </w:p>
          <w:p w14:paraId="6BFB1690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1A9D87E1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For the institutions and participants:</w:t>
            </w:r>
          </w:p>
          <w:p w14:paraId="28727611" w14:textId="77777777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02762548" w14:textId="6222A393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Higher quality professional development for teaching and academic staff, enabling effective integration of AI tools into curricula and research.</w:t>
            </w:r>
          </w:p>
          <w:p w14:paraId="307543DE" w14:textId="65EA2D4B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Exposure of participants to innovative AI-supported pedagogical and research practices.</w:t>
            </w:r>
          </w:p>
          <w:p w14:paraId="6AE8DFA1" w14:textId="63D88FDA" w:rsidR="00F9730A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Contribution to the modernization and internationalisation strategies of the host and partner institutions by promoting AI-enhanced education and collaborative learning approaches.</w:t>
            </w:r>
          </w:p>
          <w:p w14:paraId="75CCBD73" w14:textId="02D80A42" w:rsidR="00153B61" w:rsidRPr="00F9730A" w:rsidRDefault="00F9730A" w:rsidP="00F9730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F9730A">
              <w:rPr>
                <w:rFonts w:ascii="Verdana" w:hAnsi="Verdana" w:cs="Calibri"/>
                <w:sz w:val="20"/>
                <w:lang w:val="en-GB"/>
              </w:rPr>
              <w:t>Creation of a sustainable impact through knowledge transfer, resources, and methodologies that can be applied in future teaching and research initiatives.</w:t>
            </w: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84F5B9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C7900">
              <w:rPr>
                <w:rFonts w:ascii="Verdana" w:hAnsi="Verdana" w:cs="Calibri"/>
                <w:sz w:val="20"/>
                <w:lang w:val="en-GB"/>
              </w:rPr>
              <w:t>Assi</w:t>
            </w:r>
            <w:r w:rsidR="00313658">
              <w:rPr>
                <w:rFonts w:ascii="Verdana" w:hAnsi="Verdana" w:cs="Calibri"/>
                <w:sz w:val="20"/>
                <w:lang w:val="en-GB"/>
              </w:rPr>
              <w:t xml:space="preserve">st. Prof. Željko Sudarić, PhD., Dean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50F8F" w14:textId="77777777" w:rsidR="00151151" w:rsidRDefault="00151151">
      <w:r>
        <w:separator/>
      </w:r>
    </w:p>
  </w:endnote>
  <w:endnote w:type="continuationSeparator" w:id="0">
    <w:p w14:paraId="62A887D5" w14:textId="77777777" w:rsidR="00151151" w:rsidRDefault="00151151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A4B97" w14:textId="77777777" w:rsidR="00D87A69" w:rsidRDefault="00D87A6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C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32C8B" w14:textId="77777777" w:rsidR="00151151" w:rsidRDefault="00151151">
      <w:r>
        <w:separator/>
      </w:r>
    </w:p>
  </w:footnote>
  <w:footnote w:type="continuationSeparator" w:id="0">
    <w:p w14:paraId="54A2ADEB" w14:textId="77777777" w:rsidR="00151151" w:rsidRDefault="0015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AC31" w14:textId="77777777" w:rsidR="00D87A69" w:rsidRDefault="00D87A6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151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3658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CBF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900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30A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novinc@vevu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da0a812-136f-4ea9-9d0e-4cd82503c772"/>
    <ds:schemaRef ds:uri="http://schemas.microsoft.com/office/2006/documentManagement/types"/>
    <ds:schemaRef ds:uri="8114cec2-7466-4a09-8f05-41394fb5d73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657DF-5758-4AFA-9632-02AA0E33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D01DB-ADB9-4BC5-8227-19704412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6</Pages>
  <Words>837</Words>
  <Characters>5567</Characters>
  <Application>Microsoft Office Word</Application>
  <DocSecurity>0</DocSecurity>
  <PresentationFormat>Microsoft Word 11.0</PresentationFormat>
  <Lines>46</Lines>
  <Paragraphs>12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6392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Karolina Novinc</cp:lastModifiedBy>
  <cp:revision>2</cp:revision>
  <cp:lastPrinted>2013-11-06T08:46:00Z</cp:lastPrinted>
  <dcterms:created xsi:type="dcterms:W3CDTF">2026-01-13T14:41:00Z</dcterms:created>
  <dcterms:modified xsi:type="dcterms:W3CDTF">2026-01-13T14:41:00Z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0x010100B1B56C2682F3464BA9601343A25F29F2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